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E50C" w14:textId="77777777" w:rsidR="00C93C40" w:rsidRDefault="00C93C40" w:rsidP="00C93C40">
      <w:pPr>
        <w:keepNext/>
        <w:suppressAutoHyphens/>
        <w:spacing w:after="120" w:line="360" w:lineRule="auto"/>
        <w:jc w:val="right"/>
        <w:outlineLvl w:val="8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588BF82A" w14:textId="77777777" w:rsidR="00C93C40" w:rsidRPr="00294C1F" w:rsidRDefault="00C93C40" w:rsidP="00C93C40">
      <w:pPr>
        <w:keepNext/>
        <w:suppressAutoHyphens/>
        <w:spacing w:after="120" w:line="360" w:lineRule="auto"/>
        <w:jc w:val="right"/>
        <w:outlineLvl w:val="8"/>
        <w:rPr>
          <w:rFonts w:ascii="Times New Roman" w:eastAsia="Times New Roman" w:hAnsi="Times New Roman" w:cs="Times New Roman"/>
          <w:b/>
          <w:color w:val="FF0000"/>
          <w:szCs w:val="20"/>
          <w:lang w:eastAsia="pl-PL"/>
        </w:rPr>
      </w:pPr>
      <w:r w:rsidRPr="00294C1F">
        <w:rPr>
          <w:rFonts w:ascii="Times New Roman" w:eastAsia="Times New Roman" w:hAnsi="Times New Roman" w:cs="Times New Roman"/>
          <w:b/>
          <w:color w:val="FF0000"/>
          <w:szCs w:val="20"/>
          <w:lang w:eastAsia="pl-PL"/>
        </w:rPr>
        <w:t xml:space="preserve">Załącznik </w:t>
      </w:r>
      <w:r w:rsidR="000C00C3" w:rsidRPr="00294C1F">
        <w:rPr>
          <w:rFonts w:ascii="Times New Roman" w:eastAsia="Times New Roman" w:hAnsi="Times New Roman" w:cs="Times New Roman"/>
          <w:b/>
          <w:color w:val="FF0000"/>
          <w:szCs w:val="20"/>
          <w:lang w:eastAsia="pl-PL"/>
        </w:rPr>
        <w:t xml:space="preserve">nr </w:t>
      </w:r>
      <w:r w:rsidRPr="00294C1F">
        <w:rPr>
          <w:rFonts w:ascii="Times New Roman" w:eastAsia="Times New Roman" w:hAnsi="Times New Roman" w:cs="Times New Roman"/>
          <w:b/>
          <w:color w:val="FF0000"/>
          <w:szCs w:val="20"/>
          <w:lang w:eastAsia="pl-PL"/>
        </w:rPr>
        <w:t>1.1 do SWZ</w:t>
      </w:r>
    </w:p>
    <w:p w14:paraId="0CBC5860" w14:textId="77777777" w:rsidR="00294C1F" w:rsidRDefault="004600FB" w:rsidP="00C93C40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Szczegółowy opis przedmiotu zamówienia</w:t>
      </w:r>
      <w:r w:rsidR="0094263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C93C4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Pakiet </w:t>
      </w:r>
      <w:r w:rsidR="000C00C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nr </w:t>
      </w:r>
      <w:r w:rsidR="00C93C40">
        <w:rPr>
          <w:rFonts w:ascii="Times New Roman" w:eastAsia="Times New Roman" w:hAnsi="Times New Roman" w:cs="Times New Roman"/>
          <w:b/>
          <w:szCs w:val="20"/>
          <w:lang w:eastAsia="pl-PL"/>
        </w:rPr>
        <w:t>1</w:t>
      </w:r>
    </w:p>
    <w:p w14:paraId="30970AAE" w14:textId="77777777" w:rsidR="00C93C40" w:rsidRPr="006A2AC1" w:rsidRDefault="00294C1F" w:rsidP="00C93C40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bookmarkStart w:id="0" w:name="_Hlk127268655"/>
      <w:r>
        <w:rPr>
          <w:rFonts w:ascii="Times New Roman" w:eastAsia="Times New Roman" w:hAnsi="Times New Roman" w:cs="Times New Roman"/>
          <w:b/>
          <w:szCs w:val="20"/>
          <w:lang w:eastAsia="pl-PL"/>
        </w:rPr>
        <w:t>Interaktywny mobilny stół do nauki anatomii 3D</w:t>
      </w:r>
    </w:p>
    <w:tbl>
      <w:tblPr>
        <w:tblW w:w="102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9356"/>
      </w:tblGrid>
      <w:tr w:rsidR="004600FB" w:rsidRPr="001914D1" w14:paraId="36E9796C" w14:textId="77777777" w:rsidTr="00D237AF">
        <w:trPr>
          <w:trHeight w:val="1029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bookmarkEnd w:id="0"/>
          <w:p w14:paraId="2D818AB5" w14:textId="77777777" w:rsidR="004600FB" w:rsidRPr="00EB2988" w:rsidRDefault="004600FB" w:rsidP="00D73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 w:rsidRPr="00EB2988"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  <w:t>Lp.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B2FEE5" w14:textId="77777777" w:rsidR="004600FB" w:rsidRPr="001567DA" w:rsidRDefault="004600FB" w:rsidP="004600F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Cs w:val="18"/>
                <w:lang w:eastAsia="ar-SA"/>
              </w:rPr>
            </w:pPr>
            <w:r w:rsidRPr="00011BEC"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>Parametry wymagane</w:t>
            </w:r>
            <w:r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 xml:space="preserve"> przez Zamawiającego</w:t>
            </w:r>
          </w:p>
        </w:tc>
      </w:tr>
      <w:tr w:rsidR="00C93C40" w:rsidRPr="001914D1" w14:paraId="4405C777" w14:textId="77777777" w:rsidTr="00033DF8">
        <w:trPr>
          <w:trHeight w:val="58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E40318" w14:textId="77777777" w:rsidR="00C93C40" w:rsidRPr="00EB2988" w:rsidRDefault="00C93C40" w:rsidP="00C93C40">
            <w:pPr>
              <w:pStyle w:val="Akapitzlist"/>
              <w:numPr>
                <w:ilvl w:val="0"/>
                <w:numId w:val="13"/>
              </w:numPr>
              <w:tabs>
                <w:tab w:val="left" w:pos="361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5787EA" w14:textId="77777777" w:rsidR="00C93C40" w:rsidRPr="00011BEC" w:rsidRDefault="00C93C40" w:rsidP="004600FB">
            <w:pPr>
              <w:tabs>
                <w:tab w:val="left" w:pos="3611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</w:pPr>
            <w:r w:rsidRPr="00011BEC"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>Wymagania ogólne</w:t>
            </w:r>
            <w:r w:rsidR="00033DF8"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 xml:space="preserve"> – </w:t>
            </w:r>
            <w:r w:rsidR="00294C1F"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  <w:t>Interaktywny mobilny stół do nauki anatomii 3D (1 szt.)</w:t>
            </w:r>
          </w:p>
        </w:tc>
      </w:tr>
      <w:tr w:rsidR="004600FB" w:rsidRPr="001914D1" w14:paraId="26B1A354" w14:textId="77777777" w:rsidTr="000C00C3">
        <w:trPr>
          <w:trHeight w:val="112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C2078F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tabs>
                <w:tab w:val="left" w:pos="361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A8BEEF" w14:textId="77777777" w:rsidR="004600FB" w:rsidRPr="000C00C3" w:rsidRDefault="004600FB" w:rsidP="000C00C3">
            <w:pPr>
              <w:tabs>
                <w:tab w:val="left" w:pos="3611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</w:rPr>
              <w:t xml:space="preserve">Interaktywna jednostka w formie stołu z zamontowanym wyświetlaczem </w:t>
            </w:r>
            <w:r w:rsidR="000C00C3">
              <w:rPr>
                <w:rFonts w:ascii="Times New Roman" w:hAnsi="Times New Roman" w:cs="Times New Roman"/>
              </w:rPr>
              <w:t xml:space="preserve">w blacie wraz </w:t>
            </w:r>
            <w:r w:rsidR="000C00C3">
              <w:rPr>
                <w:rFonts w:ascii="Times New Roman" w:hAnsi="Times New Roman" w:cs="Times New Roman"/>
              </w:rPr>
              <w:br/>
              <w:t xml:space="preserve">z oprogramowaniem </w:t>
            </w:r>
            <w:r w:rsidRPr="000C00C3">
              <w:rPr>
                <w:rFonts w:ascii="Times New Roman" w:hAnsi="Times New Roman" w:cs="Times New Roman"/>
              </w:rPr>
              <w:t>do prowadzenia zajęć dydaktycznych z anatomii w oparciu o różne aplikacje zawierające model anatomiczny człowieka i bibliotekę szczegółowych obrazów struktur anatomicznych.</w:t>
            </w:r>
          </w:p>
        </w:tc>
      </w:tr>
      <w:tr w:rsidR="004600FB" w:rsidRPr="001914D1" w14:paraId="32B8BAD4" w14:textId="77777777" w:rsidTr="000C00C3">
        <w:trPr>
          <w:trHeight w:val="126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D39274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tabs>
                <w:tab w:val="left" w:pos="361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A623D0" w14:textId="77777777" w:rsidR="004600FB" w:rsidRPr="000C00C3" w:rsidRDefault="004600FB" w:rsidP="000C00C3">
            <w:pPr>
              <w:tabs>
                <w:tab w:val="left" w:pos="3611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</w:rPr>
              <w:t>Aplikacja atlasu anatomicznego działająca w oparciu o przeglądarkę internetową w trybie online, umożliwiająca naukę kompletnej żeńskiej i męskiej anatomii z tysiącami modeli 3D odwzorowującymi swoim zakresem układy: nerwowy, szkieletowy, mięśniowy, krwionośny, mięśniowy, pokarmowy, moczowo-płciowy, limfatyczny, dokrewny, hormonalny, oddechowy.</w:t>
            </w:r>
          </w:p>
        </w:tc>
      </w:tr>
      <w:tr w:rsidR="004600FB" w:rsidRPr="001914D1" w14:paraId="7E9BCD5A" w14:textId="77777777" w:rsidTr="000C00C3">
        <w:trPr>
          <w:trHeight w:val="126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E42FCE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tabs>
                <w:tab w:val="left" w:pos="361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AD50B" w14:textId="77777777" w:rsidR="004600FB" w:rsidRPr="000C00C3" w:rsidRDefault="004600FB" w:rsidP="000C00C3">
            <w:pPr>
              <w:tabs>
                <w:tab w:val="left" w:pos="3611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</w:rPr>
              <w:t xml:space="preserve">Dla wyświetlanej w danym momencie dowolnej struktury anatomicznej możliwa jest szybka zmiana anatomii męskiej na żeńską (i na odwrót), dokonywana za pomocą jednego kliknięcia z poziomu ustawień interfejsu użytkownika aplikacji, bez konieczności ponownego wczytywania wyświetlanej </w:t>
            </w:r>
            <w:r w:rsidR="000C00C3">
              <w:rPr>
                <w:rFonts w:ascii="Times New Roman" w:hAnsi="Times New Roman" w:cs="Times New Roman"/>
              </w:rPr>
              <w:br/>
            </w:r>
            <w:r w:rsidRPr="000C00C3">
              <w:rPr>
                <w:rFonts w:ascii="Times New Roman" w:hAnsi="Times New Roman" w:cs="Times New Roman"/>
              </w:rPr>
              <w:t>w momencie zmiany struktury</w:t>
            </w:r>
          </w:p>
        </w:tc>
      </w:tr>
      <w:tr w:rsidR="004600FB" w:rsidRPr="001914D1" w14:paraId="15C61ACE" w14:textId="77777777" w:rsidTr="000C00C3">
        <w:trPr>
          <w:trHeight w:val="19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21E50A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tabs>
                <w:tab w:val="left" w:pos="361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5C877A" w14:textId="77777777" w:rsidR="004600FB" w:rsidRPr="000C00C3" w:rsidRDefault="004600FB" w:rsidP="000C00C3">
            <w:pPr>
              <w:tabs>
                <w:tab w:val="left" w:pos="3611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</w:rPr>
              <w:t>Wybór na dowolnym modelu 3D poszczególnej struktury skutkuje pojawieniem się pola zawierającego: szczegółową definicję wybranej struktury anatomicznej, informacje na temat powiązanych z nią patologii, nazwę w języku łacińskim, polskim lub angielskim oraz ich polską lub angielską wymowę odtwarzaną za pomocą wbudowanego głośnika stołu, ikonę dodawania otaczających str</w:t>
            </w:r>
            <w:r w:rsidR="0094263D">
              <w:rPr>
                <w:rFonts w:ascii="Times New Roman" w:hAnsi="Times New Roman" w:cs="Times New Roman"/>
              </w:rPr>
              <w:t xml:space="preserve">uktur anatomicznych oraz ikonę </w:t>
            </w:r>
            <w:r w:rsidRPr="000C00C3">
              <w:rPr>
                <w:rFonts w:ascii="Times New Roman" w:hAnsi="Times New Roman" w:cs="Times New Roman"/>
              </w:rPr>
              <w:t>odizolowania od pozostałych struktur celem wyświetlenia zaznaczonej struktury w odizolowaniu od otaczającej ją anatomii dla ukazania korelacji/hierarchii wybranej struktury względem pozostałych struktur, jak i poszczególnych układów ciała.</w:t>
            </w:r>
          </w:p>
        </w:tc>
      </w:tr>
      <w:tr w:rsidR="004600FB" w:rsidRPr="001914D1" w14:paraId="131663BA" w14:textId="77777777" w:rsidTr="000C00C3">
        <w:trPr>
          <w:trHeight w:val="97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FF0F40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tabs>
                <w:tab w:val="left" w:pos="361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F8EFDB" w14:textId="77777777" w:rsidR="004600FB" w:rsidRPr="000C00C3" w:rsidRDefault="004600FB" w:rsidP="000C00C3">
            <w:pPr>
              <w:tabs>
                <w:tab w:val="left" w:pos="3611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szCs w:val="20"/>
              </w:rPr>
              <w:t>Interakcja ze strukturami 3D atlasu za pomocą dotyku na ekranie pozwalające symulować dysekcję lub doświadczenie laboratoryjne pozwalająca na: obracanie, powiększanie, pomniejszanie, usuwanie powierzchniowych struktur pozwalające dotrzeć do tych ukrytych</w:t>
            </w:r>
          </w:p>
        </w:tc>
      </w:tr>
      <w:tr w:rsidR="004600FB" w:rsidRPr="001914D1" w14:paraId="284FDB69" w14:textId="77777777" w:rsidTr="00DD62A0">
        <w:trPr>
          <w:trHeight w:val="7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C8EC4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tabs>
                <w:tab w:val="left" w:pos="361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FDD7E2" w14:textId="77777777" w:rsidR="004600FB" w:rsidRPr="000C00C3" w:rsidRDefault="004600FB" w:rsidP="000C00C3">
            <w:pPr>
              <w:tabs>
                <w:tab w:val="left" w:pos="3611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szCs w:val="20"/>
              </w:rPr>
              <w:t>Animacje przedstawiające patologie dotyczące układów: oddechowego, krążenia, pokarmowego, moczowego, mięśniowego i kostnego</w:t>
            </w:r>
          </w:p>
        </w:tc>
      </w:tr>
      <w:tr w:rsidR="004600FB" w:rsidRPr="001914D1" w14:paraId="19DB0939" w14:textId="77777777" w:rsidTr="000C00C3">
        <w:trPr>
          <w:trHeight w:val="84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A10A9D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tabs>
                <w:tab w:val="left" w:pos="361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20D6BE" w14:textId="77777777" w:rsidR="004600FB" w:rsidRPr="000C00C3" w:rsidRDefault="004600FB" w:rsidP="000C00C3">
            <w:pPr>
              <w:tabs>
                <w:tab w:val="left" w:pos="3611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szCs w:val="20"/>
              </w:rPr>
              <w:t>Animacje przedstawiające fizjologię związaną z układem kostno-mięśniowym, komórkami i tkankami, układem oddechowym i krążenia, układem pokarmowym, fizjologia poszczególnych systemów w pojęciu ogólnym</w:t>
            </w:r>
          </w:p>
        </w:tc>
      </w:tr>
      <w:tr w:rsidR="004600FB" w:rsidRPr="001914D1" w14:paraId="6E60433C" w14:textId="77777777" w:rsidTr="004600FB">
        <w:trPr>
          <w:trHeight w:val="68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D8D27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tabs>
                <w:tab w:val="left" w:pos="361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1CC28B" w14:textId="77777777" w:rsidR="004600FB" w:rsidRPr="000C00C3" w:rsidRDefault="004600FB" w:rsidP="000C00C3">
            <w:pPr>
              <w:tabs>
                <w:tab w:val="left" w:pos="3611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Porównanie modeli 3D atlasu różnych regionów ciała ludzkiego z odpowiadającymi im kadawerami lub obrazami z diagnostyki np. głowy, klatki piersiowej, brzucha czy miednicy.</w:t>
            </w:r>
          </w:p>
        </w:tc>
      </w:tr>
      <w:tr w:rsidR="004600FB" w:rsidRPr="001914D1" w14:paraId="42E8AA95" w14:textId="77777777" w:rsidTr="004600FB">
        <w:trPr>
          <w:trHeight w:val="70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0457C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tabs>
                <w:tab w:val="left" w:pos="361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76AD71" w14:textId="77777777" w:rsidR="004600FB" w:rsidRPr="000C00C3" w:rsidRDefault="004600FB" w:rsidP="000C00C3">
            <w:pPr>
              <w:tabs>
                <w:tab w:val="left" w:pos="3611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Dostępne pole „wyszukiwania hasłowego”. Wyniki wyszukiwania zorganizowane według typu treści skorelowanej z wyszukiwanym hasłem np.: poszczególnych struktur, widoków 3D atlasu.</w:t>
            </w:r>
          </w:p>
        </w:tc>
      </w:tr>
      <w:tr w:rsidR="004600FB" w:rsidRPr="001914D1" w14:paraId="6EF9469D" w14:textId="77777777" w:rsidTr="004600FB">
        <w:trPr>
          <w:trHeight w:val="69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4EA92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07D814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Wybór wybranej przez użytkownika struktury w widoku modelu anatomicznego 3D, daje dostęp do innych widoków i animacji powiązanych z daną strukturą.</w:t>
            </w:r>
          </w:p>
        </w:tc>
      </w:tr>
      <w:tr w:rsidR="004600FB" w:rsidRPr="001914D1" w14:paraId="17F3CC8F" w14:textId="77777777" w:rsidTr="004600FB">
        <w:trPr>
          <w:trHeight w:val="7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6DC95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194188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Wybór poszczególnych mięśni na modelu 3D aktywuje funkcję, która ukazuje relacje mięśni względem siebie, ich przyczepy, unerwienie i ukrwienie oraz ruch mięśni.</w:t>
            </w:r>
          </w:p>
        </w:tc>
      </w:tr>
      <w:tr w:rsidR="004600FB" w:rsidRPr="001914D1" w14:paraId="7C4DCD45" w14:textId="77777777" w:rsidTr="000C00C3">
        <w:trPr>
          <w:trHeight w:val="10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B4EBB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085266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Wybór poszczególnej struktury kostnej, aktywuje funkcję, która zaznacza kolorami i wyświetla kluczowe punkty orientacyjne na jej modelu 3D. Punkty te posiadają animowane znaczniki, których kliknięcie/dotknięcie powoduje wyświetlenie przynależnych mięśni.</w:t>
            </w:r>
          </w:p>
        </w:tc>
      </w:tr>
      <w:tr w:rsidR="004600FB" w:rsidRPr="001914D1" w14:paraId="31B88E82" w14:textId="77777777" w:rsidTr="004600FB">
        <w:trPr>
          <w:trHeight w:val="69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8D570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B10FD0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Tworzenie notatek z opcją edycji wielkości i koloru czcionki przy oglądanych w widoku 3D struktur anatomicznych, z funkcją zapisu ostatecznego widoku</w:t>
            </w:r>
          </w:p>
        </w:tc>
      </w:tr>
      <w:tr w:rsidR="004600FB" w:rsidRPr="001914D1" w14:paraId="4AAD796D" w14:textId="77777777" w:rsidTr="004600FB">
        <w:trPr>
          <w:trHeight w:val="56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FD2F1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8C267D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Rysowanie w przestrzeni 3D wokół dowolnego modelu z funkcją zapisu ostatecznego widoku</w:t>
            </w:r>
          </w:p>
        </w:tc>
      </w:tr>
      <w:tr w:rsidR="004600FB" w:rsidRPr="001914D1" w14:paraId="4D5D51E9" w14:textId="77777777" w:rsidTr="004600FB">
        <w:trPr>
          <w:trHeight w:val="69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839B7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6B09A1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 xml:space="preserve">Tagowanie (dodawanie etykiet z nazwami wybranych przez użytkownika struktur) z opcją ukrycia ich nazw celem tworzenia testów wiedzy </w:t>
            </w:r>
          </w:p>
        </w:tc>
      </w:tr>
      <w:tr w:rsidR="004600FB" w:rsidRPr="001914D1" w14:paraId="06A2CA88" w14:textId="77777777" w:rsidTr="000C00C3">
        <w:trPr>
          <w:trHeight w:val="97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C2B1E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AEDEB7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Tworzenie tzw. fiszek w odniesieniu do dostępnych w atlasie modeli i struktur anatomicznych. Ćwiczący jednym kliknięciem ,,przewraca` fiszkę, tak aby samodzielnie uzupełnić nazwy wskazanych struktur</w:t>
            </w:r>
          </w:p>
        </w:tc>
      </w:tr>
      <w:tr w:rsidR="004600FB" w:rsidRPr="001914D1" w14:paraId="10209DC2" w14:textId="77777777" w:rsidTr="004600FB">
        <w:trPr>
          <w:trHeight w:val="7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071CA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5A1690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Wszystkie utworzone i zapisane przez użytkownika widoki 3D mogą zostać później użyte w celu utworzenia trójwymiarowych prezentacji</w:t>
            </w:r>
          </w:p>
        </w:tc>
      </w:tr>
      <w:tr w:rsidR="004600FB" w:rsidRPr="001914D1" w14:paraId="6910A07B" w14:textId="77777777" w:rsidTr="004600FB">
        <w:trPr>
          <w:trHeight w:val="54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0D04D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53F5FD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Zapis co najmniej w formacie *.jpg na dysku komputera utworzonych przez użytkownika widoków 3D</w:t>
            </w:r>
          </w:p>
        </w:tc>
      </w:tr>
      <w:tr w:rsidR="004600FB" w:rsidRPr="001914D1" w14:paraId="6B2F7135" w14:textId="77777777" w:rsidTr="00AF78F3">
        <w:trPr>
          <w:trHeight w:val="6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98A04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60948B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Pogłębiona mikroanatomia wybranych tkanek i organów: oko, ucho, język, zęby, skóra</w:t>
            </w:r>
          </w:p>
        </w:tc>
      </w:tr>
      <w:tr w:rsidR="004600FB" w:rsidRPr="001914D1" w14:paraId="12D9D41D" w14:textId="77777777" w:rsidTr="000C00C3">
        <w:trPr>
          <w:trHeight w:val="91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700DB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889C1E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Udostępnianie linków do utworzonych widoków 3D i prezentacji między użytkownikami aplikacji z zachowaniem możliwości interaktywności obrazu (obracanie, powiększanie, pomniejszanie) oraz jego edycji</w:t>
            </w:r>
          </w:p>
        </w:tc>
      </w:tr>
      <w:tr w:rsidR="004600FB" w:rsidRPr="001914D1" w14:paraId="6F72A7B2" w14:textId="77777777" w:rsidTr="009C2B9F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B0C44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025B3A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Minimum 100 animacji ukazujących stany fizjologiczne i patologiczne</w:t>
            </w:r>
          </w:p>
        </w:tc>
      </w:tr>
      <w:tr w:rsidR="004600FB" w:rsidRPr="001914D1" w14:paraId="3192AA34" w14:textId="77777777" w:rsidTr="004600FB">
        <w:trPr>
          <w:trHeight w:val="60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83986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E385DA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Minimum tysiąc quizów pozwalających na samodzielne sprawdzanie nabytej wiedzy i wykonywanie sprawdzianów wiedzy</w:t>
            </w:r>
          </w:p>
        </w:tc>
      </w:tr>
      <w:tr w:rsidR="004600FB" w:rsidRPr="001914D1" w14:paraId="514A2B28" w14:textId="77777777" w:rsidTr="00212238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85498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F244E8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szCs w:val="20"/>
                <w:shd w:val="clear" w:color="auto" w:fill="FFFFFF"/>
              </w:rPr>
              <w:t>Wyprodukowany nie wcześniej niż w 202</w:t>
            </w:r>
            <w:r w:rsidR="00294C1F">
              <w:rPr>
                <w:rFonts w:ascii="Times New Roman" w:hAnsi="Times New Roman" w:cs="Times New Roman"/>
                <w:szCs w:val="20"/>
                <w:shd w:val="clear" w:color="auto" w:fill="FFFFFF"/>
              </w:rPr>
              <w:t>2</w:t>
            </w:r>
            <w:r w:rsidRPr="000C00C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r. </w:t>
            </w:r>
          </w:p>
        </w:tc>
      </w:tr>
      <w:tr w:rsidR="00C93C40" w:rsidRPr="001914D1" w14:paraId="6D5324C4" w14:textId="77777777" w:rsidTr="00033DF8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6842F" w14:textId="77777777" w:rsidR="00C93C40" w:rsidRPr="00EB2988" w:rsidRDefault="00C93C40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E9D311" w14:textId="77777777" w:rsidR="00C93C40" w:rsidRPr="00C93C40" w:rsidRDefault="00C93C40" w:rsidP="004600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3C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Dane techniczne sprzętu hardware</w:t>
            </w:r>
          </w:p>
        </w:tc>
      </w:tr>
      <w:tr w:rsidR="004600FB" w:rsidRPr="001914D1" w14:paraId="5AC5CCD3" w14:textId="77777777" w:rsidTr="001C36D4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65B21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D2D86E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Interaktywny ekran 3D. Wielkość ekranu minimum 65”</w:t>
            </w:r>
          </w:p>
        </w:tc>
      </w:tr>
      <w:tr w:rsidR="004600FB" w:rsidRPr="001914D1" w14:paraId="35E955F8" w14:textId="77777777" w:rsidTr="004600FB">
        <w:trPr>
          <w:trHeight w:val="7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FA4D3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731B41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Obudowa wykonana w formie mobilnego dotykowego ekranu multimedialnego zintegrowanego na platformie jezdnej na 4 kołach, z możliwością zablokowania pozycji</w:t>
            </w:r>
          </w:p>
        </w:tc>
      </w:tr>
      <w:tr w:rsidR="004600FB" w:rsidRPr="001914D1" w14:paraId="47CDEF42" w14:textId="77777777" w:rsidTr="004600FB">
        <w:trPr>
          <w:trHeight w:val="7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3DE43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C2A201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 xml:space="preserve">Klawiatura dotykowa wyświetlana na ekranie oraz dodatkowa bezprzewodowa sprzętowa klawiatura </w:t>
            </w:r>
            <w:r w:rsidR="000C00C3">
              <w:rPr>
                <w:rFonts w:ascii="Times New Roman" w:hAnsi="Times New Roman" w:cs="Times New Roman"/>
                <w:color w:val="000000"/>
                <w:szCs w:val="20"/>
              </w:rPr>
              <w:br/>
            </w: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i mysz w zestawie</w:t>
            </w:r>
          </w:p>
        </w:tc>
      </w:tr>
      <w:tr w:rsidR="004600FB" w:rsidRPr="001914D1" w14:paraId="774B2797" w14:textId="77777777" w:rsidTr="004600FB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08A39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A37EFB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Płynna regulacja pochyłu ekranu (od pozycji poziomej do 90° w pionie) oraz wysokości ( max. 150 cm - licząc od podłogi do środka monitora) za pomocą zintegrowanego w obudowie stołu elektronicznego panelu dotykowego</w:t>
            </w:r>
          </w:p>
        </w:tc>
      </w:tr>
      <w:tr w:rsidR="004600FB" w:rsidRPr="001914D1" w14:paraId="570282BA" w14:textId="77777777" w:rsidTr="004600FB">
        <w:trPr>
          <w:trHeight w:val="56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AC5D7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C497DA" w14:textId="77777777" w:rsidR="004600FB" w:rsidRPr="000C00C3" w:rsidRDefault="004600FB" w:rsidP="000C00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Monitor stołu posiadający filtry ograniczające odbicia światła przy dużym natężeniu światła otoczenia</w:t>
            </w:r>
          </w:p>
        </w:tc>
      </w:tr>
      <w:tr w:rsidR="004600FB" w:rsidRPr="001914D1" w14:paraId="4B3D0570" w14:textId="77777777" w:rsidTr="000C00C3">
        <w:trPr>
          <w:trHeight w:val="6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DEF37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AEDC0F" w14:textId="77777777" w:rsidR="004600FB" w:rsidRPr="000C00C3" w:rsidRDefault="004600FB" w:rsidP="00C93C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Wkomponowany w obudowę stołu komputer o mocy obliczeniowej zapewniającej płynne działanie oprogramowania</w:t>
            </w:r>
          </w:p>
        </w:tc>
      </w:tr>
      <w:tr w:rsidR="004600FB" w:rsidRPr="001914D1" w14:paraId="5516C686" w14:textId="77777777" w:rsidTr="000C00C3">
        <w:trPr>
          <w:trHeight w:val="6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6794B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6829C2" w14:textId="77777777" w:rsidR="004600FB" w:rsidRPr="000C00C3" w:rsidRDefault="004600FB" w:rsidP="00C93C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 xml:space="preserve">Pulpit zdalny, możliwość zdalnego przejęcia oprogramowania stołu przez inny komputer podłączony </w:t>
            </w:r>
            <w:r w:rsidR="000C00C3">
              <w:rPr>
                <w:rFonts w:ascii="Times New Roman" w:hAnsi="Times New Roman" w:cs="Times New Roman"/>
                <w:color w:val="000000"/>
                <w:szCs w:val="20"/>
              </w:rPr>
              <w:br/>
            </w: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do Internetu</w:t>
            </w:r>
          </w:p>
        </w:tc>
      </w:tr>
      <w:tr w:rsidR="004600FB" w:rsidRPr="001914D1" w14:paraId="49FC7CFC" w14:textId="77777777" w:rsidTr="000C00C3">
        <w:trPr>
          <w:trHeight w:val="6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AF4B8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B2238" w14:textId="77777777" w:rsidR="004600FB" w:rsidRPr="000C00C3" w:rsidRDefault="004600FB" w:rsidP="00C93C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Możliwość podłączania dodatkowych ekranów/rzutników za pomocą wbudowanego cyfrowego wyjścia wideo</w:t>
            </w:r>
          </w:p>
        </w:tc>
      </w:tr>
      <w:tr w:rsidR="004600FB" w:rsidRPr="001914D1" w14:paraId="14883311" w14:textId="77777777" w:rsidTr="004600FB">
        <w:trPr>
          <w:trHeight w:val="68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3A3B0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BB9678" w14:textId="77777777" w:rsidR="004600FB" w:rsidRPr="000C00C3" w:rsidRDefault="004600FB" w:rsidP="00C93C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Matryca o szerokich kątach widzenia, sterowana dotykiem za pomocą technologii pojemnościowej, zabezpieczona szkłem o grubości min. 5 mm i twardości min. 7H</w:t>
            </w:r>
          </w:p>
        </w:tc>
      </w:tr>
      <w:tr w:rsidR="004600FB" w:rsidRPr="001914D1" w14:paraId="292DB579" w14:textId="77777777" w:rsidTr="006A7459">
        <w:trPr>
          <w:trHeight w:val="3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BD2DE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756843" w14:textId="77777777" w:rsidR="004600FB" w:rsidRPr="000C00C3" w:rsidRDefault="004600FB" w:rsidP="00C93C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J</w:t>
            </w: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asność [cd/m²] ≥ 500</w:t>
            </w:r>
          </w:p>
        </w:tc>
      </w:tr>
      <w:tr w:rsidR="004600FB" w:rsidRPr="001914D1" w14:paraId="6BBCCB88" w14:textId="77777777" w:rsidTr="00540F22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7A26C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3EDD4E" w14:textId="77777777" w:rsidR="004600FB" w:rsidRPr="000C00C3" w:rsidRDefault="004600FB" w:rsidP="00C93C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Współczynnik kontrastu</w:t>
            </w:r>
            <w:r w:rsidR="0000407E">
              <w:rPr>
                <w:rFonts w:ascii="Times New Roman" w:hAnsi="Times New Roman" w:cs="Times New Roman"/>
                <w:color w:val="000000"/>
                <w:szCs w:val="20"/>
              </w:rPr>
              <w:t xml:space="preserve"> dynamiczny </w:t>
            </w: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 xml:space="preserve"> ≥ 8000:1</w:t>
            </w:r>
            <w:r w:rsidR="0000407E">
              <w:rPr>
                <w:rFonts w:ascii="Times New Roman" w:hAnsi="Times New Roman" w:cs="Times New Roman"/>
                <w:color w:val="000000"/>
                <w:szCs w:val="20"/>
              </w:rPr>
              <w:t xml:space="preserve"> lub </w:t>
            </w:r>
            <w:r w:rsidR="0000407E" w:rsidRPr="0000407E">
              <w:rPr>
                <w:rFonts w:ascii="Times New Roman" w:hAnsi="Times New Roman" w:cs="Times New Roman"/>
                <w:color w:val="000000"/>
                <w:szCs w:val="20"/>
              </w:rPr>
              <w:t>kontrast statyczny 1100:1</w:t>
            </w:r>
          </w:p>
        </w:tc>
      </w:tr>
      <w:tr w:rsidR="004600FB" w:rsidRPr="001914D1" w14:paraId="4F878ECC" w14:textId="77777777" w:rsidTr="00D345F2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90436" w14:textId="77777777" w:rsidR="004600FB" w:rsidRPr="00EB2988" w:rsidRDefault="004600FB" w:rsidP="00C93C40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83635B" w14:textId="77777777" w:rsidR="004600FB" w:rsidRPr="000C00C3" w:rsidRDefault="004600FB" w:rsidP="00C93C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20"/>
              </w:rPr>
              <w:t>Rozdzielczość natywna minimum 3840 x 2160</w:t>
            </w:r>
          </w:p>
        </w:tc>
      </w:tr>
      <w:tr w:rsidR="004600FB" w:rsidRPr="001914D1" w14:paraId="24F4A7E3" w14:textId="77777777" w:rsidTr="004600FB">
        <w:trPr>
          <w:trHeight w:val="7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E01CD" w14:textId="77777777" w:rsidR="004600FB" w:rsidRPr="00EB2988" w:rsidRDefault="004600FB" w:rsidP="00C15C0E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17D935" w14:textId="77777777" w:rsidR="004600FB" w:rsidRPr="000C00C3" w:rsidRDefault="004600FB" w:rsidP="004600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18"/>
              </w:rPr>
              <w:t>Produkt  w postaci aplikacji zostanie dostarczony w formie kodu licencji wysłanego na wskazany przez Zamawiającego adres email lub poprzez elektroniczną rejestrację użytkowników w usłudze producenta</w:t>
            </w:r>
          </w:p>
        </w:tc>
      </w:tr>
      <w:tr w:rsidR="004600FB" w:rsidRPr="001914D1" w14:paraId="16CFB129" w14:textId="77777777" w:rsidTr="004600FB">
        <w:trPr>
          <w:trHeight w:val="5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97CF1" w14:textId="77777777" w:rsidR="004600FB" w:rsidRPr="00EB2988" w:rsidRDefault="004600FB" w:rsidP="00C15C0E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9AFC59" w14:textId="77777777" w:rsidR="004600FB" w:rsidRPr="000C00C3" w:rsidRDefault="004600FB" w:rsidP="00C15C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18"/>
              </w:rPr>
              <w:t>Dostęp dla minimum 5 kont użytkownikó</w:t>
            </w:r>
            <w:r w:rsidR="00294C1F">
              <w:rPr>
                <w:rFonts w:ascii="Times New Roman" w:hAnsi="Times New Roman" w:cs="Times New Roman"/>
                <w:color w:val="000000"/>
                <w:szCs w:val="18"/>
              </w:rPr>
              <w:t>w</w:t>
            </w:r>
            <w:r w:rsidRPr="000C00C3"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</w:tr>
      <w:tr w:rsidR="004600FB" w:rsidRPr="001914D1" w14:paraId="56B03AA7" w14:textId="77777777" w:rsidTr="00B67719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C28AB" w14:textId="77777777" w:rsidR="004600FB" w:rsidRPr="00EB2988" w:rsidRDefault="004600FB" w:rsidP="00C15C0E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40F97F" w14:textId="77777777" w:rsidR="004600FB" w:rsidRPr="000C00C3" w:rsidRDefault="004600FB" w:rsidP="00C15C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18"/>
              </w:rPr>
              <w:t>Licencja ważna minimum 5 lat, z możliwością przedłużenia.</w:t>
            </w:r>
          </w:p>
        </w:tc>
      </w:tr>
      <w:tr w:rsidR="00933BA8" w:rsidRPr="001914D1" w14:paraId="54F1D1D6" w14:textId="77777777" w:rsidTr="00B67719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6F761" w14:textId="77777777" w:rsidR="00933BA8" w:rsidRPr="00EB2988" w:rsidRDefault="00933BA8" w:rsidP="00C15C0E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0D0E7F" w14:textId="77777777" w:rsidR="00933BA8" w:rsidRPr="000C00C3" w:rsidRDefault="00933BA8" w:rsidP="00C15C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Aplikacja w języku polskim lub angielskim </w:t>
            </w:r>
          </w:p>
        </w:tc>
      </w:tr>
      <w:tr w:rsidR="004600FB" w:rsidRPr="001914D1" w14:paraId="14F4EC47" w14:textId="77777777" w:rsidTr="004600FB">
        <w:trPr>
          <w:trHeight w:val="65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BE551" w14:textId="77777777" w:rsidR="004600FB" w:rsidRPr="00EB2988" w:rsidRDefault="004600FB" w:rsidP="00C15C0E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6947D1" w14:textId="77777777" w:rsidR="004600FB" w:rsidRPr="000C00C3" w:rsidRDefault="004600FB" w:rsidP="00C15C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color w:val="000000"/>
                <w:szCs w:val="18"/>
              </w:rPr>
              <w:t>Bezpłatny dostęp do najnowszych aktualizacji oprogramowania wydanych przez producenta przez okres minimum 5 lat od daty podpisania protokołu odbioru.</w:t>
            </w:r>
          </w:p>
        </w:tc>
      </w:tr>
      <w:tr w:rsidR="004600FB" w:rsidRPr="001914D1" w14:paraId="54B94BC3" w14:textId="77777777" w:rsidTr="004600FB">
        <w:trPr>
          <w:trHeight w:val="17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920FC" w14:textId="77777777" w:rsidR="004600FB" w:rsidRPr="00EB2988" w:rsidRDefault="004600FB" w:rsidP="00C15C0E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131812" w14:textId="77777777" w:rsidR="004600FB" w:rsidRPr="000C00C3" w:rsidRDefault="004600FB" w:rsidP="004600FB">
            <w:pPr>
              <w:spacing w:after="0"/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0C00C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Wykonawca zapewnia bezpłatne wsparcie techniczne </w:t>
            </w:r>
            <w:r w:rsidR="00135564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urządzenia </w:t>
            </w:r>
            <w:r w:rsidRPr="000C00C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oraz merytoryczne z obsługi aplikacji dla użytkowników sprzętu przez okres 12 miesięcy od momentu podpisania protokołu zdawczo-odbiorczego. </w:t>
            </w:r>
          </w:p>
          <w:p w14:paraId="658F510A" w14:textId="77777777" w:rsidR="004600FB" w:rsidRPr="000C00C3" w:rsidRDefault="004600FB" w:rsidP="004600FB">
            <w:pPr>
              <w:spacing w:after="0"/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0C00C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W zakres wsparcia wchodzą: </w:t>
            </w:r>
          </w:p>
          <w:p w14:paraId="4624D90E" w14:textId="77777777" w:rsidR="004600FB" w:rsidRPr="000C00C3" w:rsidRDefault="004600FB" w:rsidP="000C00C3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0C00C3">
              <w:rPr>
                <w:rFonts w:ascii="Times New Roman" w:hAnsi="Times New Roman" w:cs="Times New Roman"/>
                <w:szCs w:val="18"/>
                <w:shd w:val="clear" w:color="auto" w:fill="FFFFFF"/>
              </w:rPr>
              <w:t>telefoniczny kontakt użytkowników z opiekunem w godzinach 8:00-16:00 w dni robocze</w:t>
            </w:r>
          </w:p>
          <w:p w14:paraId="0EA7C18F" w14:textId="77777777" w:rsidR="004600FB" w:rsidRPr="000C00C3" w:rsidRDefault="004600FB" w:rsidP="000C00C3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0C00C3">
              <w:rPr>
                <w:rFonts w:ascii="Times New Roman" w:hAnsi="Times New Roman" w:cs="Times New Roman"/>
                <w:szCs w:val="18"/>
                <w:shd w:val="clear" w:color="auto" w:fill="FFFFFF"/>
              </w:rPr>
              <w:t>pomoc w miejscu instalacji urządzenia w godzinach 08:00-16:00 po wcześniejszym, telefonicznym zgłoszeniu zapotrzebowania, w terminie do 3 dni roboczych od zgłoszenia.</w:t>
            </w:r>
          </w:p>
        </w:tc>
      </w:tr>
      <w:tr w:rsidR="00254842" w:rsidRPr="001914D1" w14:paraId="11775FD3" w14:textId="77777777" w:rsidTr="00254842">
        <w:trPr>
          <w:trHeight w:val="80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C563F" w14:textId="77777777" w:rsidR="00254842" w:rsidRPr="00EB2988" w:rsidRDefault="00254842" w:rsidP="00C15C0E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5A9FE" w14:textId="77777777" w:rsidR="00254842" w:rsidRPr="000C00C3" w:rsidRDefault="00933BA8" w:rsidP="00933BA8">
            <w:pPr>
              <w:spacing w:after="0"/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33BA8">
              <w:rPr>
                <w:rFonts w:ascii="Times New Roman" w:hAnsi="Times New Roman" w:cs="Times New Roman"/>
                <w:szCs w:val="18"/>
                <w:shd w:val="clear" w:color="auto" w:fill="FFFFFF"/>
              </w:rPr>
              <w:t>Okres gwarancji minimum 24miesiące licząc od dnia podpisania protokołu odbi</w:t>
            </w:r>
            <w:r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oru potwierdzającego prawidłowe </w:t>
            </w:r>
            <w:r w:rsidRPr="00933BA8">
              <w:rPr>
                <w:rFonts w:ascii="Times New Roman" w:hAnsi="Times New Roman" w:cs="Times New Roman"/>
                <w:szCs w:val="18"/>
                <w:shd w:val="clear" w:color="auto" w:fill="FFFFFF"/>
              </w:rPr>
              <w:t>uruchomienie przedmiotu dostawy</w:t>
            </w:r>
          </w:p>
        </w:tc>
      </w:tr>
      <w:tr w:rsidR="00933BA8" w:rsidRPr="001914D1" w14:paraId="303E202B" w14:textId="77777777" w:rsidTr="00254842">
        <w:trPr>
          <w:trHeight w:val="80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3E085" w14:textId="77777777" w:rsidR="00933BA8" w:rsidRPr="00EB2988" w:rsidRDefault="00933BA8" w:rsidP="00C15C0E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E91101" w14:textId="77777777" w:rsidR="00933BA8" w:rsidRPr="00933BA8" w:rsidRDefault="00933BA8" w:rsidP="00933BA8">
            <w:pPr>
              <w:spacing w:after="0"/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33BA8">
              <w:rPr>
                <w:rFonts w:ascii="Times New Roman" w:hAnsi="Times New Roman" w:cs="Times New Roman"/>
                <w:szCs w:val="18"/>
                <w:shd w:val="clear" w:color="auto" w:fill="FFFFFF"/>
              </w:rPr>
              <w:t>Instruktaż techniczno – szkoleniowy w terminie ustalonym z Zamawiającym – na miejscu dostawy</w:t>
            </w:r>
          </w:p>
        </w:tc>
      </w:tr>
    </w:tbl>
    <w:p w14:paraId="5A64CC10" w14:textId="77777777" w:rsidR="00C93C40" w:rsidRDefault="00C93C40" w:rsidP="00C93C40">
      <w:pPr>
        <w:suppressAutoHyphens/>
        <w:spacing w:after="0" w:line="240" w:lineRule="auto"/>
      </w:pPr>
    </w:p>
    <w:p w14:paraId="67F575B9" w14:textId="77777777" w:rsidR="00C93C40" w:rsidRDefault="00C93C40" w:rsidP="00C93C40">
      <w:pPr>
        <w:suppressAutoHyphens/>
        <w:spacing w:after="0" w:line="240" w:lineRule="auto"/>
      </w:pPr>
    </w:p>
    <w:p w14:paraId="4EB23A55" w14:textId="77777777" w:rsidR="00F13603" w:rsidRDefault="00F13603"/>
    <w:sectPr w:rsidR="00F13603" w:rsidSect="00A902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21A6" w14:textId="77777777" w:rsidR="00DE2266" w:rsidRDefault="00DE2266" w:rsidP="00C93C40">
      <w:pPr>
        <w:spacing w:after="0" w:line="240" w:lineRule="auto"/>
      </w:pPr>
      <w:r>
        <w:separator/>
      </w:r>
    </w:p>
  </w:endnote>
  <w:endnote w:type="continuationSeparator" w:id="0">
    <w:p w14:paraId="5670CABD" w14:textId="77777777" w:rsidR="00DE2266" w:rsidRDefault="00DE2266" w:rsidP="00C9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522137"/>
      <w:docPartObj>
        <w:docPartGallery w:val="Page Numbers (Bottom of Page)"/>
        <w:docPartUnique/>
      </w:docPartObj>
    </w:sdtPr>
    <w:sdtContent>
      <w:p w14:paraId="0C10EE36" w14:textId="77777777" w:rsidR="001567DA" w:rsidRDefault="00A902C6">
        <w:pPr>
          <w:pStyle w:val="Stopka"/>
          <w:jc w:val="center"/>
        </w:pPr>
        <w:r>
          <w:fldChar w:fldCharType="begin"/>
        </w:r>
        <w:r w:rsidR="004600FB">
          <w:instrText>PAGE   \* MERGEFORMAT</w:instrText>
        </w:r>
        <w:r>
          <w:fldChar w:fldCharType="separate"/>
        </w:r>
        <w:r w:rsidR="0094263D">
          <w:rPr>
            <w:noProof/>
          </w:rPr>
          <w:t>3</w:t>
        </w:r>
        <w:r>
          <w:fldChar w:fldCharType="end"/>
        </w:r>
      </w:p>
    </w:sdtContent>
  </w:sdt>
  <w:p w14:paraId="008F564D" w14:textId="77777777" w:rsidR="001567DA" w:rsidRDefault="00C93C40">
    <w:pPr>
      <w:pStyle w:val="Stopka"/>
    </w:pPr>
    <w:r w:rsidRPr="00C93C40">
      <w:rPr>
        <w:rFonts w:ascii="Times New Roman" w:eastAsia="Times New Roman" w:hAnsi="Times New Roman" w:cs="Times New Roman"/>
        <w:noProof/>
        <w:color w:val="00000A"/>
        <w:sz w:val="24"/>
        <w:szCs w:val="24"/>
        <w:lang w:eastAsia="pl-PL"/>
      </w:rPr>
      <w:drawing>
        <wp:inline distT="0" distB="0" distL="0" distR="0" wp14:anchorId="14619CC6" wp14:editId="7FC80568">
          <wp:extent cx="5760720" cy="353060"/>
          <wp:effectExtent l="0" t="0" r="0" b="889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on_CzB_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3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9F86" w14:textId="77777777" w:rsidR="00DE2266" w:rsidRDefault="00DE2266" w:rsidP="00C93C40">
      <w:pPr>
        <w:spacing w:after="0" w:line="240" w:lineRule="auto"/>
      </w:pPr>
      <w:r>
        <w:separator/>
      </w:r>
    </w:p>
  </w:footnote>
  <w:footnote w:type="continuationSeparator" w:id="0">
    <w:p w14:paraId="2A78DD49" w14:textId="77777777" w:rsidR="00DE2266" w:rsidRDefault="00DE2266" w:rsidP="00C9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6577" w14:textId="77777777" w:rsidR="00B80ACC" w:rsidRPr="008A474B" w:rsidRDefault="00C93C40" w:rsidP="008A474B">
    <w:pPr>
      <w:pStyle w:val="Nagwek"/>
    </w:pPr>
    <w:r w:rsidRPr="00C93C40">
      <w:rPr>
        <w:rFonts w:ascii="Times New Roman" w:eastAsia="Times New Roman" w:hAnsi="Times New Roman" w:cs="Times New Roman"/>
        <w:noProof/>
        <w:color w:val="00000A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FF8F5F4" wp14:editId="7D006CFA">
          <wp:simplePos x="0" y="0"/>
          <wp:positionH relativeFrom="column">
            <wp:posOffset>-400050</wp:posOffset>
          </wp:positionH>
          <wp:positionV relativeFrom="paragraph">
            <wp:posOffset>-153035</wp:posOffset>
          </wp:positionV>
          <wp:extent cx="6800850" cy="474980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y_Pion_po_zmianie_logotypu_SWW_CZBIS_17_07_2017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A1F"/>
    <w:multiLevelType w:val="hybridMultilevel"/>
    <w:tmpl w:val="88F8FB6E"/>
    <w:lvl w:ilvl="0" w:tplc="04150017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 w15:restartNumberingAfterBreak="0">
    <w:nsid w:val="0BC126FF"/>
    <w:multiLevelType w:val="hybridMultilevel"/>
    <w:tmpl w:val="6BE0D96C"/>
    <w:lvl w:ilvl="0" w:tplc="B93A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3606"/>
    <w:multiLevelType w:val="hybridMultilevel"/>
    <w:tmpl w:val="4AC0282E"/>
    <w:lvl w:ilvl="0" w:tplc="3D347C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CF75C9"/>
    <w:multiLevelType w:val="hybridMultilevel"/>
    <w:tmpl w:val="84120C54"/>
    <w:lvl w:ilvl="0" w:tplc="04150017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" w15:restartNumberingAfterBreak="0">
    <w:nsid w:val="205E5DA6"/>
    <w:multiLevelType w:val="hybridMultilevel"/>
    <w:tmpl w:val="EBA23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42ACF"/>
    <w:multiLevelType w:val="hybridMultilevel"/>
    <w:tmpl w:val="ED80F948"/>
    <w:lvl w:ilvl="0" w:tplc="04150017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" w15:restartNumberingAfterBreak="0">
    <w:nsid w:val="2DB23708"/>
    <w:multiLevelType w:val="hybridMultilevel"/>
    <w:tmpl w:val="2B6ACED4"/>
    <w:lvl w:ilvl="0" w:tplc="04150017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7" w15:restartNumberingAfterBreak="0">
    <w:nsid w:val="4553371F"/>
    <w:multiLevelType w:val="hybridMultilevel"/>
    <w:tmpl w:val="3A344B8A"/>
    <w:lvl w:ilvl="0" w:tplc="5D0E5DAE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50D83CBA"/>
    <w:multiLevelType w:val="hybridMultilevel"/>
    <w:tmpl w:val="4CB081A2"/>
    <w:lvl w:ilvl="0" w:tplc="04150017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526A6FB9"/>
    <w:multiLevelType w:val="hybridMultilevel"/>
    <w:tmpl w:val="9A2ABBA0"/>
    <w:lvl w:ilvl="0" w:tplc="5A5606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A33F7"/>
    <w:multiLevelType w:val="hybridMultilevel"/>
    <w:tmpl w:val="7438109E"/>
    <w:lvl w:ilvl="0" w:tplc="04150017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5AD55CFC"/>
    <w:multiLevelType w:val="hybridMultilevel"/>
    <w:tmpl w:val="1E90F3F6"/>
    <w:lvl w:ilvl="0" w:tplc="04150017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2" w15:restartNumberingAfterBreak="0">
    <w:nsid w:val="6F6F53E1"/>
    <w:multiLevelType w:val="hybridMultilevel"/>
    <w:tmpl w:val="569C0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41FC3"/>
    <w:multiLevelType w:val="hybridMultilevel"/>
    <w:tmpl w:val="54D6E772"/>
    <w:lvl w:ilvl="0" w:tplc="B6820C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num w:numId="1" w16cid:durableId="1946114523">
    <w:abstractNumId w:val="2"/>
  </w:num>
  <w:num w:numId="2" w16cid:durableId="494879874">
    <w:abstractNumId w:val="9"/>
  </w:num>
  <w:num w:numId="3" w16cid:durableId="1168060472">
    <w:abstractNumId w:val="11"/>
  </w:num>
  <w:num w:numId="4" w16cid:durableId="1818066101">
    <w:abstractNumId w:val="7"/>
  </w:num>
  <w:num w:numId="5" w16cid:durableId="591158376">
    <w:abstractNumId w:val="0"/>
  </w:num>
  <w:num w:numId="6" w16cid:durableId="394082961">
    <w:abstractNumId w:val="13"/>
  </w:num>
  <w:num w:numId="7" w16cid:durableId="379789660">
    <w:abstractNumId w:val="3"/>
  </w:num>
  <w:num w:numId="8" w16cid:durableId="1961448388">
    <w:abstractNumId w:val="10"/>
  </w:num>
  <w:num w:numId="9" w16cid:durableId="2108966083">
    <w:abstractNumId w:val="5"/>
  </w:num>
  <w:num w:numId="10" w16cid:durableId="174999752">
    <w:abstractNumId w:val="4"/>
  </w:num>
  <w:num w:numId="11" w16cid:durableId="733549175">
    <w:abstractNumId w:val="8"/>
  </w:num>
  <w:num w:numId="12" w16cid:durableId="592713701">
    <w:abstractNumId w:val="6"/>
  </w:num>
  <w:num w:numId="13" w16cid:durableId="1898781398">
    <w:abstractNumId w:val="1"/>
  </w:num>
  <w:num w:numId="14" w16cid:durableId="11870589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40"/>
    <w:rsid w:val="0000407E"/>
    <w:rsid w:val="00004EE1"/>
    <w:rsid w:val="00033DF8"/>
    <w:rsid w:val="000C00C3"/>
    <w:rsid w:val="00135564"/>
    <w:rsid w:val="00254842"/>
    <w:rsid w:val="00294C1F"/>
    <w:rsid w:val="00403EEF"/>
    <w:rsid w:val="004600FB"/>
    <w:rsid w:val="007A388B"/>
    <w:rsid w:val="00933BA8"/>
    <w:rsid w:val="0094263D"/>
    <w:rsid w:val="00A902C6"/>
    <w:rsid w:val="00C15C0E"/>
    <w:rsid w:val="00C93C40"/>
    <w:rsid w:val="00DE2266"/>
    <w:rsid w:val="00E641F8"/>
    <w:rsid w:val="00F019E3"/>
    <w:rsid w:val="00F1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326D"/>
  <w15:docId w15:val="{CE1B1B51-E93A-45B9-BEF6-58BB84E0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C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C40"/>
  </w:style>
  <w:style w:type="paragraph" w:styleId="Stopka">
    <w:name w:val="footer"/>
    <w:basedOn w:val="Normalny"/>
    <w:link w:val="StopkaZnak"/>
    <w:uiPriority w:val="99"/>
    <w:unhideWhenUsed/>
    <w:rsid w:val="00C9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C40"/>
  </w:style>
  <w:style w:type="paragraph" w:styleId="Tekstdymka">
    <w:name w:val="Balloon Text"/>
    <w:basedOn w:val="Normalny"/>
    <w:link w:val="TekstdymkaZnak"/>
    <w:uiPriority w:val="99"/>
    <w:semiHidden/>
    <w:unhideWhenUsed/>
    <w:rsid w:val="0094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Robert Judek</cp:lastModifiedBy>
  <cp:revision>2</cp:revision>
  <dcterms:created xsi:type="dcterms:W3CDTF">2023-02-21T07:28:00Z</dcterms:created>
  <dcterms:modified xsi:type="dcterms:W3CDTF">2023-02-21T07:28:00Z</dcterms:modified>
</cp:coreProperties>
</file>